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webSettings.xml" ContentType="application/vnd.openxmlformats-officedocument.wordprocessingml.webSettings+xml"/>
  <Override PartName="/word/header3.xml" ContentType="application/vnd.openxmlformats-officedocument.wordprocessingml.head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04"/>
        <w:gridCol w:w="2485"/>
      </w:tblGrid>
      <w:tr w:rsidR="006613E1" w14:paraId="0318B301" w14:textId="77777777">
        <w:trPr>
          <w:trHeight w:val="691"/>
        </w:trPr>
        <w:tc>
          <w:tcPr>
            <w:tcW w:w="6804" w:type="dxa"/>
            <w:tcBorders>
              <w:top w:val="nil"/>
              <w:left w:val="nil"/>
              <w:bottom w:val="nil"/>
              <w:right w:val="nil"/>
            </w:tcBorders>
            <w:shd w:val="clear" w:color="auto" w:fill="auto"/>
            <w:tcMar>
              <w:top w:w="80" w:type="dxa"/>
              <w:left w:w="80" w:type="dxa"/>
              <w:bottom w:w="80" w:type="dxa"/>
              <w:right w:w="80" w:type="dxa"/>
            </w:tcMar>
          </w:tcPr>
          <w:p w14:paraId="49D34AC9" w14:textId="77777777" w:rsidR="006613E1" w:rsidRDefault="00C60403">
            <w:pPr>
              <w:pStyle w:val="TextA"/>
              <w:jc w:val="both"/>
              <w:rPr>
                <w:rFonts w:eastAsia="Arial Unicode MS"/>
                <w:lang w:val="en-US"/>
              </w:rPr>
            </w:pPr>
            <w:bookmarkStart w:id="0" w:name="_GoBack"/>
            <w:bookmarkEnd w:id="0"/>
            <w:r>
              <w:rPr>
                <w:rFonts w:eastAsia="Arial Unicode MS"/>
                <w:noProof/>
                <w:lang w:eastAsia="zh-CN"/>
              </w:rPr>
              <w:drawing>
                <wp:inline distT="0" distB="0" distL="0" distR="0" wp14:anchorId="611893B8" wp14:editId="06E7EA04">
                  <wp:extent cx="1399500" cy="360000"/>
                  <wp:effectExtent l="0" t="0" r="0" b="254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9500" cy="360000"/>
                          </a:xfrm>
                          <a:prstGeom prst="rect">
                            <a:avLst/>
                          </a:prstGeom>
                          <a:ln w="12700">
                            <a:noFill/>
                            <a:miter lim="400000"/>
                          </a:ln>
                        </pic:spPr>
                      </pic:pic>
                    </a:graphicData>
                  </a:graphic>
                </wp:inline>
              </w:drawing>
            </w:r>
          </w:p>
        </w:tc>
        <w:tc>
          <w:tcPr>
            <w:tcW w:w="2485" w:type="dxa"/>
            <w:tcBorders>
              <w:top w:val="nil"/>
              <w:left w:val="nil"/>
              <w:bottom w:val="nil"/>
              <w:right w:val="nil"/>
            </w:tcBorders>
            <w:shd w:val="clear" w:color="auto" w:fill="auto"/>
            <w:tcMar>
              <w:top w:w="80" w:type="dxa"/>
              <w:left w:w="80" w:type="dxa"/>
              <w:bottom w:w="80" w:type="dxa"/>
              <w:right w:w="80" w:type="dxa"/>
            </w:tcMar>
          </w:tcPr>
          <w:p w14:paraId="49E8CD4C" w14:textId="77777777" w:rsidR="006613E1" w:rsidRDefault="006613E1">
            <w:pPr>
              <w:spacing w:line="276" w:lineRule="auto"/>
              <w:jc w:val="both"/>
              <w:rPr>
                <w:rFonts w:ascii="Arial" w:hAnsi="Arial" w:cs="Arial"/>
                <w:color w:val="000000"/>
                <w:sz w:val="20"/>
                <w:szCs w:val="20"/>
                <w:u w:color="000000"/>
                <w:lang w:eastAsia="de-DE"/>
              </w:rPr>
            </w:pPr>
          </w:p>
        </w:tc>
      </w:tr>
    </w:tbl>
    <w:p w14:paraId="6597F165" w14:textId="77777777" w:rsidR="006613E1" w:rsidRDefault="00C60403">
      <w:pPr>
        <w:pStyle w:val="BodyText"/>
        <w:jc w:val="both"/>
        <w:rPr>
          <w:rFonts w:cs="Arial"/>
          <w:lang w:val="de-DE"/>
        </w:rPr>
      </w:pPr>
      <w:r>
        <w:rPr>
          <w:rFonts w:cs="Arial"/>
          <w:lang w:val="de-DE"/>
        </w:rPr>
        <w:t>Pressemitteilung</w:t>
      </w:r>
    </w:p>
    <w:p w14:paraId="2734BF6A" w14:textId="528C5278" w:rsidR="00F50CC5" w:rsidRPr="00F50CC5" w:rsidRDefault="0041557A" w:rsidP="00F50CC5">
      <w:pPr>
        <w:spacing w:before="100" w:beforeAutospacing="1" w:after="100" w:afterAutospacing="1" w:line="276" w:lineRule="auto"/>
        <w:rPr>
          <w:rFonts w:ascii="Arial" w:hAnsi="Arial" w:cs="Arial"/>
          <w:b/>
          <w:bCs/>
          <w:lang w:val="de-DE"/>
        </w:rPr>
      </w:pPr>
      <w:r>
        <w:rPr>
          <w:rFonts w:ascii="Arial" w:hAnsi="Arial" w:cs="Arial"/>
          <w:b/>
          <w:bCs/>
          <w:lang w:val="de-DE"/>
        </w:rPr>
        <w:t>Dentons begleitet</w:t>
      </w:r>
      <w:r w:rsidR="00F50CC5" w:rsidRPr="00F50CC5">
        <w:rPr>
          <w:rFonts w:ascii="Arial" w:hAnsi="Arial" w:cs="Arial"/>
          <w:b/>
          <w:bCs/>
          <w:lang w:val="de-DE"/>
        </w:rPr>
        <w:t xml:space="preserve"> </w:t>
      </w:r>
      <w:r w:rsidR="00B81E6F">
        <w:rPr>
          <w:rFonts w:ascii="Arial" w:hAnsi="Arial" w:cs="Arial"/>
          <w:b/>
          <w:bCs/>
          <w:lang w:val="de-DE"/>
        </w:rPr>
        <w:t>Brandl Industries bei Verkauf von Tochtergesellschaften in Tschechien</w:t>
      </w:r>
      <w:r w:rsidR="00212497">
        <w:rPr>
          <w:rFonts w:ascii="Arial" w:hAnsi="Arial" w:cs="Arial"/>
          <w:b/>
          <w:bCs/>
          <w:lang w:val="de-DE"/>
        </w:rPr>
        <w:t>,</w:t>
      </w:r>
      <w:r w:rsidR="00B81E6F">
        <w:rPr>
          <w:rFonts w:ascii="Arial" w:hAnsi="Arial" w:cs="Arial"/>
          <w:b/>
          <w:bCs/>
          <w:lang w:val="de-DE"/>
        </w:rPr>
        <w:t xml:space="preserve"> Rumänien</w:t>
      </w:r>
      <w:r w:rsidR="00212497">
        <w:rPr>
          <w:rFonts w:ascii="Arial" w:hAnsi="Arial" w:cs="Arial"/>
          <w:b/>
          <w:bCs/>
          <w:lang w:val="de-DE"/>
        </w:rPr>
        <w:t xml:space="preserve"> und Deutschland</w:t>
      </w:r>
    </w:p>
    <w:p w14:paraId="4E2A1FD7" w14:textId="00DAA245" w:rsidR="00B81E6F" w:rsidRDefault="00F50CC5" w:rsidP="002B4B88">
      <w:pPr>
        <w:pStyle w:val="PlainText"/>
        <w:spacing w:line="276" w:lineRule="auto"/>
        <w:jc w:val="both"/>
        <w:rPr>
          <w:lang w:eastAsia="en-US"/>
        </w:rPr>
      </w:pPr>
      <w:r>
        <w:rPr>
          <w:b/>
        </w:rPr>
        <w:t>Berlin</w:t>
      </w:r>
      <w:r w:rsidR="00C60403" w:rsidRPr="00C60403">
        <w:rPr>
          <w:b/>
        </w:rPr>
        <w:t xml:space="preserve">, </w:t>
      </w:r>
      <w:r w:rsidR="004335AA">
        <w:rPr>
          <w:b/>
        </w:rPr>
        <w:t>10</w:t>
      </w:r>
      <w:r w:rsidR="00C60403" w:rsidRPr="00C60403">
        <w:rPr>
          <w:b/>
        </w:rPr>
        <w:t xml:space="preserve">. </w:t>
      </w:r>
      <w:r w:rsidR="00212497">
        <w:rPr>
          <w:b/>
        </w:rPr>
        <w:t>Februar</w:t>
      </w:r>
      <w:r w:rsidR="00E108D7">
        <w:rPr>
          <w:b/>
        </w:rPr>
        <w:t xml:space="preserve"> </w:t>
      </w:r>
      <w:r w:rsidR="00C60403" w:rsidRPr="00C60403">
        <w:rPr>
          <w:b/>
        </w:rPr>
        <w:t>202</w:t>
      </w:r>
      <w:r w:rsidR="00212497">
        <w:rPr>
          <w:b/>
        </w:rPr>
        <w:t>1</w:t>
      </w:r>
      <w:r w:rsidR="00C60403" w:rsidRPr="00C60403">
        <w:rPr>
          <w:b/>
        </w:rPr>
        <w:t xml:space="preserve"> </w:t>
      </w:r>
      <w:r w:rsidR="00C60403" w:rsidRPr="00C60403">
        <w:t>–</w:t>
      </w:r>
      <w:r>
        <w:t xml:space="preserve"> </w:t>
      </w:r>
      <w:r>
        <w:rPr>
          <w:lang w:eastAsia="en-US"/>
        </w:rPr>
        <w:t xml:space="preserve">Die globale Wirtschaftskanzlei Dentons hat </w:t>
      </w:r>
      <w:r w:rsidR="00B81E6F">
        <w:rPr>
          <w:lang w:eastAsia="en-US"/>
        </w:rPr>
        <w:t xml:space="preserve">den </w:t>
      </w:r>
      <w:r w:rsidR="005A1CCC">
        <w:rPr>
          <w:lang w:eastAsia="en-US"/>
        </w:rPr>
        <w:t>Automobilzuli</w:t>
      </w:r>
      <w:r w:rsidR="00BC03A6">
        <w:rPr>
          <w:lang w:eastAsia="en-US"/>
        </w:rPr>
        <w:t>e</w:t>
      </w:r>
      <w:r w:rsidR="005A1CCC">
        <w:rPr>
          <w:lang w:eastAsia="en-US"/>
        </w:rPr>
        <w:t xml:space="preserve">ferer </w:t>
      </w:r>
      <w:r w:rsidR="00B81E6F">
        <w:rPr>
          <w:lang w:eastAsia="en-US"/>
        </w:rPr>
        <w:t xml:space="preserve">Brandl Industries beim Verkauf seiner </w:t>
      </w:r>
      <w:r w:rsidR="00212497">
        <w:rPr>
          <w:lang w:eastAsia="en-US"/>
        </w:rPr>
        <w:t xml:space="preserve">operativen </w:t>
      </w:r>
      <w:r w:rsidR="00B81E6F">
        <w:rPr>
          <w:lang w:eastAsia="en-US"/>
        </w:rPr>
        <w:t>Tochtergesellschaften in Tschechien un</w:t>
      </w:r>
      <w:r w:rsidR="004F0FCE">
        <w:rPr>
          <w:lang w:eastAsia="en-US"/>
        </w:rPr>
        <w:t xml:space="preserve">d Rumänien </w:t>
      </w:r>
      <w:r w:rsidR="00212497">
        <w:rPr>
          <w:lang w:eastAsia="en-US"/>
        </w:rPr>
        <w:t>sowie d</w:t>
      </w:r>
      <w:r w:rsidR="004335AA">
        <w:rPr>
          <w:lang w:eastAsia="en-US"/>
        </w:rPr>
        <w:t>er deutschen Management-Service-</w:t>
      </w:r>
      <w:r w:rsidR="00212497">
        <w:rPr>
          <w:lang w:eastAsia="en-US"/>
        </w:rPr>
        <w:t xml:space="preserve">Gesellschaft </w:t>
      </w:r>
      <w:r w:rsidR="004F0FCE">
        <w:rPr>
          <w:lang w:eastAsia="en-US"/>
        </w:rPr>
        <w:t>beraten. Käufer sind Gesellschaften der</w:t>
      </w:r>
      <w:r w:rsidR="00B81E6F">
        <w:rPr>
          <w:lang w:eastAsia="en-US"/>
        </w:rPr>
        <w:t xml:space="preserve"> International</w:t>
      </w:r>
      <w:r w:rsidR="004F0FCE">
        <w:rPr>
          <w:lang w:eastAsia="en-US"/>
        </w:rPr>
        <w:t xml:space="preserve"> Alexander</w:t>
      </w:r>
      <w:r w:rsidR="00B81E6F">
        <w:rPr>
          <w:lang w:eastAsia="en-US"/>
        </w:rPr>
        <w:t xml:space="preserve"> Holding (Rumänien)</w:t>
      </w:r>
      <w:r w:rsidR="0085165A">
        <w:rPr>
          <w:lang w:eastAsia="en-US"/>
        </w:rPr>
        <w:t>, die</w:t>
      </w:r>
      <w:r w:rsidR="004F0FCE">
        <w:rPr>
          <w:lang w:eastAsia="en-US"/>
        </w:rPr>
        <w:t xml:space="preserve"> als Investor</w:t>
      </w:r>
      <w:r w:rsidR="0085165A">
        <w:rPr>
          <w:lang w:eastAsia="en-US"/>
        </w:rPr>
        <w:t xml:space="preserve"> im Zuge der Transaktion die Produktionsstätten von Brandl im tschechischen Kaplice und rumänischen Sibiu übernimmt</w:t>
      </w:r>
      <w:r w:rsidR="00B81E6F">
        <w:rPr>
          <w:lang w:eastAsia="en-US"/>
        </w:rPr>
        <w:t xml:space="preserve">. Über den Kaufpreis wurde Stillschweigen vereinbart. </w:t>
      </w:r>
    </w:p>
    <w:p w14:paraId="1E9021EC" w14:textId="1A7218B4" w:rsidR="0085165A" w:rsidRDefault="0085165A" w:rsidP="002B4B88">
      <w:pPr>
        <w:pStyle w:val="PlainText"/>
        <w:spacing w:line="276" w:lineRule="auto"/>
        <w:jc w:val="both"/>
        <w:rPr>
          <w:lang w:eastAsia="en-US"/>
        </w:rPr>
      </w:pPr>
    </w:p>
    <w:p w14:paraId="6967246C" w14:textId="37EF9409" w:rsidR="00B81E6F" w:rsidRDefault="003034DF" w:rsidP="002B4B88">
      <w:pPr>
        <w:pStyle w:val="PlainText"/>
        <w:spacing w:line="276" w:lineRule="auto"/>
        <w:jc w:val="both"/>
        <w:rPr>
          <w:lang w:eastAsia="en-US"/>
        </w:rPr>
      </w:pPr>
      <w:r w:rsidRPr="003034DF">
        <w:rPr>
          <w:lang w:eastAsia="en-US"/>
        </w:rPr>
        <w:t xml:space="preserve">Die </w:t>
      </w:r>
      <w:r w:rsidR="001A7BF1" w:rsidRPr="001A7BF1">
        <w:rPr>
          <w:lang w:eastAsia="en-US"/>
        </w:rPr>
        <w:t>Kernkompetenz</w:t>
      </w:r>
      <w:r w:rsidR="005F4BFB">
        <w:rPr>
          <w:lang w:eastAsia="en-US"/>
        </w:rPr>
        <w:t xml:space="preserve"> von Brandl Industries liegt</w:t>
      </w:r>
      <w:r w:rsidR="001A7BF1" w:rsidRPr="001A7BF1">
        <w:rPr>
          <w:lang w:eastAsia="en-US"/>
        </w:rPr>
        <w:t xml:space="preserve"> im Umformen von Metall und dem Fertigen </w:t>
      </w:r>
      <w:r w:rsidR="001A7BF1">
        <w:rPr>
          <w:lang w:eastAsia="en-US"/>
        </w:rPr>
        <w:t>hoch komplexer Baugruppen</w:t>
      </w:r>
      <w:r w:rsidR="001A7BF1" w:rsidRPr="001A7BF1">
        <w:rPr>
          <w:lang w:eastAsia="en-US"/>
        </w:rPr>
        <w:t xml:space="preserve"> sowie in der Konstruktion und Herstellung von Werkzeugen</w:t>
      </w:r>
      <w:r w:rsidRPr="003034DF">
        <w:rPr>
          <w:lang w:eastAsia="en-US"/>
        </w:rPr>
        <w:t>.</w:t>
      </w:r>
      <w:r>
        <w:rPr>
          <w:lang w:eastAsia="en-US"/>
        </w:rPr>
        <w:t xml:space="preserve"> Der Stammsitz des Unternehmens im bayerischen Pfeffenhausen </w:t>
      </w:r>
      <w:r w:rsidR="00BC03A6">
        <w:rPr>
          <w:lang w:eastAsia="en-US"/>
        </w:rPr>
        <w:t>wurde bereits Ende April 2020 im Rahmen der Umsetzung des Restrukturierungskonzepts</w:t>
      </w:r>
      <w:r w:rsidR="004F0FCE">
        <w:rPr>
          <w:lang w:eastAsia="en-US"/>
        </w:rPr>
        <w:t xml:space="preserve"> </w:t>
      </w:r>
      <w:r>
        <w:rPr>
          <w:lang w:eastAsia="en-US"/>
        </w:rPr>
        <w:t>geschlossen und die deutsche Produktion ins Ausland verlagert. Brandl</w:t>
      </w:r>
      <w:r w:rsidR="0085165A" w:rsidRPr="0085165A">
        <w:rPr>
          <w:lang w:eastAsia="en-US"/>
        </w:rPr>
        <w:t xml:space="preserve"> beliefert aus</w:t>
      </w:r>
      <w:r w:rsidR="0085165A">
        <w:rPr>
          <w:lang w:eastAsia="en-US"/>
        </w:rPr>
        <w:t xml:space="preserve"> den Werken in Kaplice</w:t>
      </w:r>
      <w:r w:rsidR="0041557A">
        <w:rPr>
          <w:lang w:eastAsia="en-US"/>
        </w:rPr>
        <w:t xml:space="preserve"> mit rund 300 Mitarbeitern</w:t>
      </w:r>
      <w:r w:rsidR="0085165A">
        <w:rPr>
          <w:lang w:eastAsia="en-US"/>
        </w:rPr>
        <w:t xml:space="preserve"> und Sibiu</w:t>
      </w:r>
      <w:r w:rsidR="0041557A">
        <w:rPr>
          <w:lang w:eastAsia="en-US"/>
        </w:rPr>
        <w:t xml:space="preserve"> mit 600 Mitarbeitern</w:t>
      </w:r>
      <w:r w:rsidR="0085165A" w:rsidRPr="0085165A">
        <w:rPr>
          <w:lang w:eastAsia="en-US"/>
        </w:rPr>
        <w:t xml:space="preserve"> führende Automo</w:t>
      </w:r>
      <w:r w:rsidR="001A7BF1">
        <w:rPr>
          <w:lang w:eastAsia="en-US"/>
        </w:rPr>
        <w:t>bilhersteller</w:t>
      </w:r>
      <w:r w:rsidR="0085165A" w:rsidRPr="0085165A">
        <w:rPr>
          <w:lang w:eastAsia="en-US"/>
        </w:rPr>
        <w:t xml:space="preserve"> im Premiumsegment</w:t>
      </w:r>
      <w:r w:rsidR="0085165A">
        <w:rPr>
          <w:lang w:eastAsia="en-US"/>
        </w:rPr>
        <w:t xml:space="preserve">. </w:t>
      </w:r>
    </w:p>
    <w:p w14:paraId="711EACDD" w14:textId="77777777" w:rsidR="00B81E6F" w:rsidRDefault="00B81E6F" w:rsidP="002B4B88">
      <w:pPr>
        <w:pStyle w:val="PlainText"/>
        <w:spacing w:line="276" w:lineRule="auto"/>
        <w:jc w:val="both"/>
        <w:rPr>
          <w:lang w:eastAsia="de-DE"/>
        </w:rPr>
      </w:pPr>
    </w:p>
    <w:p w14:paraId="63C794DF" w14:textId="16D0DB07" w:rsidR="00F50CC5" w:rsidRDefault="0041557A" w:rsidP="00F50CC5">
      <w:pPr>
        <w:pStyle w:val="PlainText"/>
        <w:spacing w:line="276" w:lineRule="auto"/>
        <w:jc w:val="both"/>
        <w:rPr>
          <w:lang w:eastAsia="en-US"/>
        </w:rPr>
      </w:pPr>
      <w:r>
        <w:rPr>
          <w:color w:val="auto"/>
        </w:rPr>
        <w:t>Ein grenzüberschreitendes</w:t>
      </w:r>
      <w:r w:rsidR="00F50CC5" w:rsidRPr="00F50CC5">
        <w:rPr>
          <w:color w:val="auto"/>
        </w:rPr>
        <w:t xml:space="preserve"> Dentons-Team</w:t>
      </w:r>
      <w:r w:rsidR="005F4BFB">
        <w:rPr>
          <w:color w:val="auto"/>
        </w:rPr>
        <w:t xml:space="preserve"> aus Berlin</w:t>
      </w:r>
      <w:r w:rsidR="00212497">
        <w:rPr>
          <w:color w:val="auto"/>
        </w:rPr>
        <w:t>/Frankfurt</w:t>
      </w:r>
      <w:r w:rsidR="005F4BFB">
        <w:rPr>
          <w:color w:val="auto"/>
        </w:rPr>
        <w:t>, Prag und Bukarest</w:t>
      </w:r>
      <w:r w:rsidR="00F50CC5" w:rsidRPr="00F50CC5">
        <w:rPr>
          <w:color w:val="auto"/>
        </w:rPr>
        <w:t xml:space="preserve"> hat</w:t>
      </w:r>
      <w:r w:rsidR="00B81E6F">
        <w:rPr>
          <w:color w:val="auto"/>
        </w:rPr>
        <w:t xml:space="preserve"> Brandl </w:t>
      </w:r>
      <w:r w:rsidR="004F0FCE">
        <w:rPr>
          <w:color w:val="auto"/>
        </w:rPr>
        <w:t>vollumfassend zum Verkauf seiner</w:t>
      </w:r>
      <w:r w:rsidR="0085165A">
        <w:rPr>
          <w:color w:val="auto"/>
        </w:rPr>
        <w:t xml:space="preserve"> Tochtergesellschaften </w:t>
      </w:r>
      <w:r w:rsidR="00B81E6F">
        <w:rPr>
          <w:color w:val="auto"/>
        </w:rPr>
        <w:t>beraten</w:t>
      </w:r>
      <w:r w:rsidR="00F50CC5" w:rsidRPr="00F50CC5">
        <w:rPr>
          <w:color w:val="auto"/>
        </w:rPr>
        <w:t xml:space="preserve">. </w:t>
      </w:r>
      <w:r w:rsidR="005F4BFB">
        <w:rPr>
          <w:lang w:eastAsia="en-US"/>
        </w:rPr>
        <w:t>Ein deutsches Team unter Federführung von Andreas Ziegenhagen</w:t>
      </w:r>
      <w:r w:rsidR="00B81E6F">
        <w:rPr>
          <w:lang w:eastAsia="en-US"/>
        </w:rPr>
        <w:t xml:space="preserve"> hatte zuvor bereits</w:t>
      </w:r>
      <w:r w:rsidR="00B81E6F" w:rsidRPr="00B81E6F">
        <w:rPr>
          <w:lang w:eastAsia="en-US"/>
        </w:rPr>
        <w:t xml:space="preserve"> im Zusammenhang mit einer doppelnützigen Treuhand die Restrukturier</w:t>
      </w:r>
      <w:r w:rsidR="00A1706A">
        <w:rPr>
          <w:lang w:eastAsia="en-US"/>
        </w:rPr>
        <w:t xml:space="preserve">ung des </w:t>
      </w:r>
      <w:r w:rsidR="005A1CCC">
        <w:rPr>
          <w:lang w:eastAsia="en-US"/>
        </w:rPr>
        <w:t xml:space="preserve">Automobilzulieferers </w:t>
      </w:r>
      <w:r w:rsidR="00A1706A">
        <w:rPr>
          <w:lang w:eastAsia="en-US"/>
        </w:rPr>
        <w:t>und der</w:t>
      </w:r>
      <w:r w:rsidR="00B81E6F" w:rsidRPr="00B81E6F">
        <w:rPr>
          <w:lang w:eastAsia="en-US"/>
        </w:rPr>
        <w:t xml:space="preserve"> Tochtergesellschaften </w:t>
      </w:r>
      <w:r>
        <w:rPr>
          <w:lang w:eastAsia="en-US"/>
        </w:rPr>
        <w:t>begleitet.</w:t>
      </w:r>
    </w:p>
    <w:p w14:paraId="119EBBF2" w14:textId="119CED5C" w:rsidR="005F4BFB" w:rsidRDefault="005F4BFB" w:rsidP="00F50CC5">
      <w:pPr>
        <w:pStyle w:val="PlainText"/>
        <w:spacing w:line="276" w:lineRule="auto"/>
        <w:jc w:val="both"/>
        <w:rPr>
          <w:lang w:eastAsia="en-US"/>
        </w:rPr>
      </w:pPr>
    </w:p>
    <w:p w14:paraId="2C9F4A4A" w14:textId="2E49CF91" w:rsidR="00F50CC5" w:rsidRPr="005F4BFB" w:rsidRDefault="005F4BFB" w:rsidP="00F50CC5">
      <w:pPr>
        <w:pStyle w:val="PlainText"/>
        <w:spacing w:line="276" w:lineRule="auto"/>
        <w:jc w:val="both"/>
        <w:rPr>
          <w:b/>
          <w:u w:val="single"/>
        </w:rPr>
      </w:pPr>
      <w:r w:rsidRPr="005F4BFB">
        <w:rPr>
          <w:b/>
          <w:u w:val="single"/>
        </w:rPr>
        <w:t>Berater Brandl Industries:</w:t>
      </w:r>
    </w:p>
    <w:p w14:paraId="3D3A4E7A" w14:textId="605871E5" w:rsidR="006613E1" w:rsidRDefault="006613E1">
      <w:pPr>
        <w:pStyle w:val="PlainText"/>
        <w:spacing w:line="276" w:lineRule="auto"/>
      </w:pPr>
    </w:p>
    <w:p w14:paraId="3067B535" w14:textId="1789BE54" w:rsidR="001958C5" w:rsidRPr="001958C5" w:rsidRDefault="00F50CC5" w:rsidP="001958C5">
      <w:pPr>
        <w:pStyle w:val="BodyText"/>
        <w:rPr>
          <w:lang w:val="de-DE"/>
        </w:rPr>
      </w:pPr>
      <w:r w:rsidRPr="001958C5">
        <w:rPr>
          <w:b/>
          <w:bCs/>
          <w:lang w:val="de-DE"/>
        </w:rPr>
        <w:t>Dentons (Berlin</w:t>
      </w:r>
      <w:r w:rsidR="00212497">
        <w:rPr>
          <w:b/>
          <w:bCs/>
          <w:lang w:val="de-DE"/>
        </w:rPr>
        <w:t>/Frankfurt</w:t>
      </w:r>
      <w:r w:rsidRPr="001958C5">
        <w:rPr>
          <w:b/>
          <w:bCs/>
          <w:lang w:val="de-DE"/>
        </w:rPr>
        <w:t>):</w:t>
      </w:r>
      <w:r w:rsidR="001958C5" w:rsidRPr="001958C5">
        <w:rPr>
          <w:b/>
          <w:bCs/>
          <w:lang w:val="de-DE"/>
        </w:rPr>
        <w:t xml:space="preserve"> </w:t>
      </w:r>
      <w:r w:rsidR="001958C5" w:rsidRPr="001958C5">
        <w:rPr>
          <w:lang w:val="de-DE"/>
        </w:rPr>
        <w:t>Andreas Ziegenhagen (Partner, Federführung, Restrukturierung), Hauke Thieme (Partner, Steuerrecht),</w:t>
      </w:r>
      <w:r w:rsidR="001958C5">
        <w:rPr>
          <w:lang w:val="de-DE"/>
        </w:rPr>
        <w:t xml:space="preserve"> </w:t>
      </w:r>
      <w:r w:rsidR="001958C5" w:rsidRPr="001958C5">
        <w:rPr>
          <w:lang w:val="de-DE"/>
        </w:rPr>
        <w:t>Dr. Jan Seelinger (Counsel</w:t>
      </w:r>
      <w:r w:rsidR="001958C5">
        <w:rPr>
          <w:lang w:val="de-DE"/>
        </w:rPr>
        <w:t>, Restrukturierung),</w:t>
      </w:r>
      <w:r w:rsidR="001958C5" w:rsidRPr="001958C5">
        <w:rPr>
          <w:lang w:val="de-DE"/>
        </w:rPr>
        <w:t xml:space="preserve"> Matthias Stelzer (Counsel</w:t>
      </w:r>
      <w:r w:rsidR="001958C5">
        <w:rPr>
          <w:lang w:val="de-DE"/>
        </w:rPr>
        <w:t>, Arbeitsrecht</w:t>
      </w:r>
      <w:r w:rsidR="001958C5" w:rsidRPr="001958C5">
        <w:rPr>
          <w:lang w:val="de-DE"/>
        </w:rPr>
        <w:t xml:space="preserve">), </w:t>
      </w:r>
      <w:r w:rsidR="00212497" w:rsidRPr="001958C5">
        <w:rPr>
          <w:lang w:val="de-DE"/>
        </w:rPr>
        <w:t>Maximilian Santüns (Senior Associate), Marcus Roick (Associate),</w:t>
      </w:r>
      <w:r w:rsidR="00212497">
        <w:rPr>
          <w:lang w:val="de-DE"/>
        </w:rPr>
        <w:t xml:space="preserve"> </w:t>
      </w:r>
      <w:r w:rsidR="00212497" w:rsidRPr="001958C5">
        <w:rPr>
          <w:lang w:val="de-DE"/>
        </w:rPr>
        <w:t>Sebastian von Haldenwang (Associate</w:t>
      </w:r>
      <w:r w:rsidR="00212497">
        <w:rPr>
          <w:lang w:val="de-DE"/>
        </w:rPr>
        <w:t>, alle Corporate/M&amp;A</w:t>
      </w:r>
      <w:r w:rsidR="00212497" w:rsidRPr="001958C5">
        <w:rPr>
          <w:lang w:val="de-DE"/>
        </w:rPr>
        <w:t>)</w:t>
      </w:r>
      <w:r w:rsidR="00212497">
        <w:rPr>
          <w:lang w:val="de-DE"/>
        </w:rPr>
        <w:t>,</w:t>
      </w:r>
      <w:r w:rsidR="00212497" w:rsidRPr="001958C5">
        <w:rPr>
          <w:lang w:val="de-DE"/>
        </w:rPr>
        <w:t xml:space="preserve"> </w:t>
      </w:r>
      <w:r w:rsidR="001958C5" w:rsidRPr="001958C5">
        <w:rPr>
          <w:lang w:val="de-DE"/>
        </w:rPr>
        <w:t>Holger Hölkemeier (Senior Associate</w:t>
      </w:r>
      <w:r w:rsidR="001958C5">
        <w:rPr>
          <w:lang w:val="de-DE"/>
        </w:rPr>
        <w:t>, Steuerrecht</w:t>
      </w:r>
      <w:r w:rsidR="001958C5" w:rsidRPr="001958C5">
        <w:rPr>
          <w:lang w:val="de-DE"/>
        </w:rPr>
        <w:t>), Bernadette Baas (A</w:t>
      </w:r>
      <w:r w:rsidR="001958C5">
        <w:rPr>
          <w:lang w:val="de-DE"/>
        </w:rPr>
        <w:t>ssociate, Arbeitsrecht)</w:t>
      </w:r>
      <w:r w:rsidR="001958C5" w:rsidRPr="001958C5">
        <w:rPr>
          <w:lang w:val="de-DE"/>
        </w:rPr>
        <w:t xml:space="preserve"> </w:t>
      </w:r>
    </w:p>
    <w:p w14:paraId="14C70128" w14:textId="2C52A30A" w:rsidR="001958C5" w:rsidRPr="001958C5" w:rsidRDefault="003034DF" w:rsidP="001958C5">
      <w:pPr>
        <w:pStyle w:val="BodyText"/>
        <w:rPr>
          <w:lang w:val="de-DE"/>
        </w:rPr>
      </w:pPr>
      <w:r w:rsidRPr="001958C5">
        <w:rPr>
          <w:rFonts w:cs="Arial"/>
          <w:b/>
          <w:bCs/>
          <w:color w:val="000000"/>
          <w:szCs w:val="20"/>
          <w:lang w:val="de-DE"/>
        </w:rPr>
        <w:t>Dentons (Prag</w:t>
      </w:r>
      <w:r w:rsidR="00F50CC5" w:rsidRPr="001958C5">
        <w:rPr>
          <w:rFonts w:cs="Arial"/>
          <w:b/>
          <w:bCs/>
          <w:color w:val="000000"/>
          <w:szCs w:val="20"/>
          <w:lang w:val="de-DE"/>
        </w:rPr>
        <w:t>):</w:t>
      </w:r>
      <w:r w:rsidR="00F50CC5" w:rsidRPr="001958C5">
        <w:rPr>
          <w:rFonts w:cs="Arial"/>
          <w:color w:val="000000"/>
          <w:szCs w:val="20"/>
          <w:lang w:val="de-DE"/>
        </w:rPr>
        <w:t xml:space="preserve"> </w:t>
      </w:r>
      <w:r w:rsidR="001958C5" w:rsidRPr="001958C5">
        <w:rPr>
          <w:bCs/>
          <w:color w:val="000000"/>
          <w:shd w:val="clear" w:color="auto" w:fill="FFFFFF"/>
          <w:lang w:val="de-DE"/>
        </w:rPr>
        <w:t>Tomáš Bílek</w:t>
      </w:r>
      <w:r w:rsidR="001958C5" w:rsidRPr="001958C5">
        <w:rPr>
          <w:lang w:val="de-DE"/>
        </w:rPr>
        <w:t xml:space="preserve"> (Partner</w:t>
      </w:r>
      <w:r w:rsidR="001958C5">
        <w:rPr>
          <w:lang w:val="de-DE"/>
        </w:rPr>
        <w:t>, Arbeitsrecht</w:t>
      </w:r>
      <w:r w:rsidR="001958C5" w:rsidRPr="001958C5">
        <w:rPr>
          <w:lang w:val="de-DE"/>
        </w:rPr>
        <w:t xml:space="preserve">), Adam </w:t>
      </w:r>
      <w:r w:rsidR="001958C5" w:rsidRPr="001958C5">
        <w:rPr>
          <w:bCs/>
          <w:color w:val="000000"/>
          <w:shd w:val="clear" w:color="auto" w:fill="FFFFFF"/>
          <w:lang w:val="de-DE"/>
        </w:rPr>
        <w:t>Přerovský</w:t>
      </w:r>
      <w:r w:rsidR="001958C5" w:rsidRPr="001958C5">
        <w:rPr>
          <w:lang w:val="de-DE"/>
        </w:rPr>
        <w:t xml:space="preserve"> (Senior Associate</w:t>
      </w:r>
      <w:r w:rsidR="001958C5">
        <w:rPr>
          <w:lang w:val="de-DE"/>
        </w:rPr>
        <w:t>, Kartellrecht</w:t>
      </w:r>
      <w:r w:rsidR="001958C5" w:rsidRPr="001958C5">
        <w:rPr>
          <w:lang w:val="de-DE"/>
        </w:rPr>
        <w:t xml:space="preserve">), </w:t>
      </w:r>
      <w:r w:rsidR="001958C5" w:rsidRPr="001958C5">
        <w:rPr>
          <w:rStyle w:val="data3a"/>
          <w:bCs/>
          <w:lang w:val="de-DE"/>
        </w:rPr>
        <w:t>Vojtěch Novák</w:t>
      </w:r>
      <w:r w:rsidR="001958C5" w:rsidRPr="001958C5">
        <w:rPr>
          <w:lang w:val="de-DE"/>
        </w:rPr>
        <w:t xml:space="preserve"> (Associate</w:t>
      </w:r>
      <w:r w:rsidR="001958C5">
        <w:rPr>
          <w:lang w:val="de-DE"/>
        </w:rPr>
        <w:t>, Steuerrecht</w:t>
      </w:r>
      <w:r w:rsidR="001958C5" w:rsidRPr="001958C5">
        <w:rPr>
          <w:lang w:val="de-DE"/>
        </w:rPr>
        <w:t xml:space="preserve">), Michael </w:t>
      </w:r>
      <w:r w:rsidR="001958C5" w:rsidRPr="001958C5">
        <w:rPr>
          <w:bCs/>
          <w:color w:val="000000"/>
          <w:shd w:val="clear" w:color="auto" w:fill="FFFFFF"/>
          <w:lang w:val="de-DE"/>
        </w:rPr>
        <w:t>Mráček</w:t>
      </w:r>
      <w:r w:rsidR="001958C5" w:rsidRPr="001958C5">
        <w:rPr>
          <w:lang w:val="de-DE"/>
        </w:rPr>
        <w:t xml:space="preserve"> (Associate</w:t>
      </w:r>
      <w:r w:rsidR="001958C5">
        <w:rPr>
          <w:lang w:val="de-DE"/>
        </w:rPr>
        <w:t>, Arbeitsrecht</w:t>
      </w:r>
      <w:r w:rsidR="001958C5" w:rsidRPr="001958C5">
        <w:rPr>
          <w:lang w:val="de-DE"/>
        </w:rPr>
        <w:t>),</w:t>
      </w:r>
      <w:r w:rsidR="001958C5">
        <w:rPr>
          <w:lang w:val="de-DE"/>
        </w:rPr>
        <w:t xml:space="preserve"> </w:t>
      </w:r>
      <w:r w:rsidR="001958C5" w:rsidRPr="001958C5">
        <w:rPr>
          <w:lang w:val="de-DE"/>
        </w:rPr>
        <w:t>Bohuslav Hrdý (</w:t>
      </w:r>
      <w:r w:rsidR="001958C5">
        <w:rPr>
          <w:lang w:val="de-DE"/>
        </w:rPr>
        <w:t>Associate),</w:t>
      </w:r>
      <w:r w:rsidR="001958C5" w:rsidRPr="001958C5">
        <w:rPr>
          <w:lang w:val="de-DE"/>
        </w:rPr>
        <w:t xml:space="preserve"> Jan </w:t>
      </w:r>
      <w:r w:rsidR="001958C5" w:rsidRPr="001958C5">
        <w:rPr>
          <w:bCs/>
          <w:color w:val="000000"/>
          <w:shd w:val="clear" w:color="auto" w:fill="FFFFFF"/>
          <w:lang w:val="de-DE"/>
        </w:rPr>
        <w:t>Sedlák</w:t>
      </w:r>
      <w:r w:rsidR="001958C5" w:rsidRPr="001958C5">
        <w:rPr>
          <w:lang w:val="de-DE"/>
        </w:rPr>
        <w:t xml:space="preserve"> (Associate</w:t>
      </w:r>
      <w:r w:rsidR="001958C5">
        <w:rPr>
          <w:lang w:val="de-DE"/>
        </w:rPr>
        <w:t>, beide Immobilienwirtschaftsrecht</w:t>
      </w:r>
      <w:r w:rsidR="001958C5" w:rsidRPr="001958C5">
        <w:rPr>
          <w:lang w:val="de-DE"/>
        </w:rPr>
        <w:t xml:space="preserve">), Justina </w:t>
      </w:r>
      <w:r w:rsidR="001958C5" w:rsidRPr="001958C5">
        <w:rPr>
          <w:bCs/>
          <w:color w:val="000000"/>
          <w:shd w:val="clear" w:color="auto" w:fill="FFFFFF"/>
          <w:lang w:val="de-DE"/>
        </w:rPr>
        <w:t>Bodláková</w:t>
      </w:r>
      <w:r w:rsidR="001958C5" w:rsidRPr="001958C5">
        <w:rPr>
          <w:lang w:val="de-DE"/>
        </w:rPr>
        <w:t xml:space="preserve"> (Associate), Petr Müller (Associate), Petr Kotáb (Honorary Member</w:t>
      </w:r>
      <w:r w:rsidR="001958C5">
        <w:rPr>
          <w:lang w:val="de-DE"/>
        </w:rPr>
        <w:t>, alle Corporate</w:t>
      </w:r>
      <w:r w:rsidR="005F4BFB">
        <w:rPr>
          <w:lang w:val="de-DE"/>
        </w:rPr>
        <w:t>/M&amp;A</w:t>
      </w:r>
      <w:r w:rsidR="001958C5" w:rsidRPr="001958C5">
        <w:rPr>
          <w:lang w:val="de-DE"/>
        </w:rPr>
        <w:t>)</w:t>
      </w:r>
    </w:p>
    <w:p w14:paraId="398DD095" w14:textId="410DF6C0" w:rsidR="001958C5" w:rsidRPr="005F4BFB" w:rsidRDefault="003034DF" w:rsidP="001958C5">
      <w:pPr>
        <w:pStyle w:val="BodyText"/>
        <w:rPr>
          <w:lang w:val="de-DE"/>
        </w:rPr>
      </w:pPr>
      <w:r w:rsidRPr="005F4BFB">
        <w:rPr>
          <w:rFonts w:cs="Arial"/>
          <w:b/>
          <w:bCs/>
          <w:color w:val="000000"/>
          <w:szCs w:val="20"/>
          <w:lang w:val="de-DE"/>
        </w:rPr>
        <w:t>Dentons (Bukarest</w:t>
      </w:r>
      <w:r w:rsidR="00F50CC5" w:rsidRPr="005F4BFB">
        <w:rPr>
          <w:rFonts w:cs="Arial"/>
          <w:b/>
          <w:bCs/>
          <w:color w:val="000000"/>
          <w:szCs w:val="20"/>
          <w:lang w:val="de-DE"/>
        </w:rPr>
        <w:t>):</w:t>
      </w:r>
      <w:r w:rsidR="00F50CC5" w:rsidRPr="005F4BFB">
        <w:rPr>
          <w:rFonts w:cs="Arial"/>
          <w:color w:val="000000"/>
          <w:szCs w:val="20"/>
          <w:lang w:val="de-DE"/>
        </w:rPr>
        <w:t xml:space="preserve"> </w:t>
      </w:r>
      <w:r w:rsidR="001958C5" w:rsidRPr="005F4BFB">
        <w:rPr>
          <w:lang w:val="de-DE"/>
        </w:rPr>
        <w:t>Cristina Daianu (Partner, Corporate</w:t>
      </w:r>
      <w:r w:rsidR="005F4BFB">
        <w:rPr>
          <w:lang w:val="de-DE"/>
        </w:rPr>
        <w:t>/M&amp;A</w:t>
      </w:r>
      <w:r w:rsidR="001958C5" w:rsidRPr="005F4BFB">
        <w:rPr>
          <w:lang w:val="de-DE"/>
        </w:rPr>
        <w:t>), Oana Ionascu (Counsel), Lawrence Florescu (Senior Associate, beide Bank- und Finanzrecht), Andreea Lepadatu (Senior Associate</w:t>
      </w:r>
      <w:r w:rsidR="005F4BFB" w:rsidRPr="005F4BFB">
        <w:rPr>
          <w:lang w:val="de-DE"/>
        </w:rPr>
        <w:t>, Immobilienwirtschaftsrecht</w:t>
      </w:r>
      <w:r w:rsidR="001958C5" w:rsidRPr="005F4BFB">
        <w:rPr>
          <w:lang w:val="de-DE"/>
        </w:rPr>
        <w:t>), Andrei Vartires (Associate</w:t>
      </w:r>
      <w:r w:rsidR="005F4BFB" w:rsidRPr="005F4BFB">
        <w:rPr>
          <w:lang w:val="de-DE"/>
        </w:rPr>
        <w:t>, Prozessführung und Streitbeilegung</w:t>
      </w:r>
      <w:r w:rsidR="001958C5" w:rsidRPr="005F4BFB">
        <w:rPr>
          <w:lang w:val="de-DE"/>
        </w:rPr>
        <w:t>)</w:t>
      </w:r>
      <w:r w:rsidR="005F4BFB">
        <w:rPr>
          <w:lang w:val="de-DE"/>
        </w:rPr>
        <w:t>.</w:t>
      </w:r>
    </w:p>
    <w:p w14:paraId="6A3C593E" w14:textId="511FDEFF" w:rsidR="00F50CC5" w:rsidRPr="005F4BFB" w:rsidRDefault="00F50CC5" w:rsidP="00F50CC5">
      <w:pPr>
        <w:rPr>
          <w:rFonts w:ascii="Arial" w:hAnsi="Arial" w:cs="Arial"/>
          <w:color w:val="000000"/>
          <w:sz w:val="20"/>
          <w:szCs w:val="20"/>
          <w:lang w:val="de-DE"/>
        </w:rPr>
      </w:pPr>
    </w:p>
    <w:p w14:paraId="2838867A" w14:textId="77777777" w:rsidR="00F50CC5" w:rsidRPr="005F4BFB" w:rsidRDefault="00F50CC5" w:rsidP="00F50CC5">
      <w:pPr>
        <w:rPr>
          <w:rFonts w:ascii="Arial" w:hAnsi="Arial" w:cs="Arial"/>
          <w:color w:val="000000"/>
          <w:sz w:val="20"/>
          <w:szCs w:val="20"/>
          <w:lang w:val="de-DE"/>
        </w:rPr>
      </w:pPr>
    </w:p>
    <w:p w14:paraId="49570833" w14:textId="77777777" w:rsidR="00F50CC5" w:rsidRPr="005F4BFB" w:rsidRDefault="00F50CC5" w:rsidP="00F50CC5">
      <w:pPr>
        <w:rPr>
          <w:rFonts w:ascii="Arial" w:hAnsi="Arial" w:cs="Arial"/>
          <w:color w:val="000000"/>
          <w:sz w:val="20"/>
          <w:szCs w:val="20"/>
          <w:lang w:val="de-DE"/>
        </w:rPr>
      </w:pPr>
    </w:p>
    <w:p w14:paraId="4872CD5B" w14:textId="77777777" w:rsidR="00F50CC5" w:rsidRPr="005F4BFB" w:rsidRDefault="00F50CC5" w:rsidP="00F50CC5">
      <w:pPr>
        <w:rPr>
          <w:rFonts w:ascii="Arial" w:hAnsi="Arial" w:cs="Arial"/>
          <w:color w:val="000000"/>
          <w:sz w:val="20"/>
          <w:szCs w:val="20"/>
          <w:lang w:val="de-DE"/>
        </w:rPr>
      </w:pPr>
    </w:p>
    <w:p w14:paraId="1B9CFEC9" w14:textId="77777777" w:rsidR="00F50CC5" w:rsidRPr="005F4BFB" w:rsidRDefault="00F50CC5">
      <w:pPr>
        <w:pStyle w:val="PlainText"/>
        <w:spacing w:line="276" w:lineRule="auto"/>
      </w:pPr>
    </w:p>
    <w:tbl>
      <w:tblPr>
        <w:tblW w:w="9263" w:type="dxa"/>
        <w:tblInd w:w="38" w:type="dxa"/>
        <w:tblLayout w:type="fixed"/>
        <w:tblLook w:val="04A0" w:firstRow="1" w:lastRow="0" w:firstColumn="1" w:lastColumn="0" w:noHBand="0" w:noVBand="1"/>
      </w:tblPr>
      <w:tblGrid>
        <w:gridCol w:w="5103"/>
        <w:gridCol w:w="4160"/>
      </w:tblGrid>
      <w:tr w:rsidR="006613E1" w:rsidRPr="00F50CC5" w14:paraId="02E0D99A" w14:textId="77777777">
        <w:trPr>
          <w:trHeight w:val="1222"/>
        </w:trPr>
        <w:tc>
          <w:tcPr>
            <w:tcW w:w="5103" w:type="dxa"/>
            <w:shd w:val="clear" w:color="auto" w:fill="auto"/>
            <w:tcMar>
              <w:top w:w="80" w:type="dxa"/>
              <w:left w:w="80" w:type="dxa"/>
              <w:bottom w:w="80" w:type="dxa"/>
              <w:right w:w="80" w:type="dxa"/>
            </w:tcMar>
          </w:tcPr>
          <w:p w14:paraId="00E1825B" w14:textId="77777777" w:rsidR="006613E1" w:rsidRDefault="00C60403">
            <w:pPr>
              <w:pStyle w:val="Text"/>
              <w:tabs>
                <w:tab w:val="left" w:pos="288"/>
              </w:tabs>
              <w:spacing w:line="276" w:lineRule="auto"/>
              <w:jc w:val="both"/>
              <w:rPr>
                <w:rFonts w:ascii="Arial" w:hAnsi="Arial" w:cs="Arial"/>
                <w:b/>
                <w:bCs/>
                <w:sz w:val="20"/>
                <w:szCs w:val="20"/>
              </w:rPr>
            </w:pPr>
            <w:r>
              <w:rPr>
                <w:rFonts w:ascii="Arial" w:hAnsi="Arial" w:cs="Arial"/>
                <w:b/>
                <w:bCs/>
                <w:sz w:val="20"/>
                <w:szCs w:val="20"/>
              </w:rPr>
              <w:lastRenderedPageBreak/>
              <w:t>Kontakt:</w:t>
            </w:r>
          </w:p>
          <w:p w14:paraId="66527CFA" w14:textId="5CB46C0A" w:rsidR="002B4B88" w:rsidRDefault="003034DF">
            <w:pPr>
              <w:pStyle w:val="Text"/>
              <w:tabs>
                <w:tab w:val="left" w:pos="288"/>
              </w:tabs>
              <w:spacing w:line="276" w:lineRule="auto"/>
              <w:jc w:val="both"/>
              <w:rPr>
                <w:rFonts w:ascii="Arial" w:hAnsi="Arial" w:cs="Arial"/>
                <w:bCs/>
                <w:sz w:val="20"/>
                <w:szCs w:val="20"/>
              </w:rPr>
            </w:pPr>
            <w:r>
              <w:rPr>
                <w:rFonts w:ascii="Arial" w:hAnsi="Arial" w:cs="Arial"/>
                <w:bCs/>
                <w:sz w:val="20"/>
                <w:szCs w:val="20"/>
              </w:rPr>
              <w:t>Andreas Ziegenhagen</w:t>
            </w:r>
          </w:p>
          <w:p w14:paraId="05916B33" w14:textId="047A2D26" w:rsidR="002B4B88" w:rsidRDefault="002B4B88">
            <w:pPr>
              <w:pStyle w:val="Text"/>
              <w:tabs>
                <w:tab w:val="left" w:pos="288"/>
              </w:tabs>
              <w:spacing w:line="276" w:lineRule="auto"/>
              <w:jc w:val="both"/>
              <w:rPr>
                <w:rFonts w:ascii="Arial" w:hAnsi="Arial" w:cs="Arial"/>
                <w:bCs/>
                <w:sz w:val="20"/>
                <w:szCs w:val="20"/>
              </w:rPr>
            </w:pPr>
            <w:r>
              <w:rPr>
                <w:rFonts w:ascii="Arial" w:hAnsi="Arial" w:cs="Arial"/>
                <w:bCs/>
                <w:sz w:val="20"/>
                <w:szCs w:val="20"/>
              </w:rPr>
              <w:t xml:space="preserve">Partner, </w:t>
            </w:r>
            <w:r w:rsidR="00F50CC5">
              <w:rPr>
                <w:rFonts w:ascii="Arial" w:hAnsi="Arial" w:cs="Arial"/>
                <w:bCs/>
                <w:sz w:val="20"/>
                <w:szCs w:val="20"/>
              </w:rPr>
              <w:t>Berlin</w:t>
            </w:r>
            <w:r w:rsidR="00D36CE4">
              <w:rPr>
                <w:rFonts w:ascii="Arial" w:hAnsi="Arial" w:cs="Arial"/>
                <w:bCs/>
                <w:sz w:val="20"/>
                <w:szCs w:val="20"/>
              </w:rPr>
              <w:t xml:space="preserve"> </w:t>
            </w:r>
          </w:p>
          <w:p w14:paraId="36CA4371" w14:textId="50F39407" w:rsidR="002B4B88" w:rsidRDefault="003034DF">
            <w:pPr>
              <w:pStyle w:val="Text"/>
              <w:tabs>
                <w:tab w:val="left" w:pos="288"/>
              </w:tabs>
              <w:spacing w:line="276" w:lineRule="auto"/>
              <w:jc w:val="both"/>
              <w:rPr>
                <w:rFonts w:ascii="Arial" w:hAnsi="Arial" w:cs="Arial"/>
                <w:bCs/>
                <w:sz w:val="20"/>
                <w:szCs w:val="20"/>
              </w:rPr>
            </w:pPr>
            <w:r>
              <w:rPr>
                <w:rFonts w:ascii="Arial" w:hAnsi="Arial" w:cs="Arial"/>
                <w:bCs/>
                <w:sz w:val="20"/>
                <w:szCs w:val="20"/>
              </w:rPr>
              <w:t xml:space="preserve">T </w:t>
            </w:r>
            <w:r w:rsidRPr="003034DF">
              <w:rPr>
                <w:rFonts w:ascii="Arial" w:hAnsi="Arial" w:cs="Arial"/>
                <w:bCs/>
                <w:sz w:val="20"/>
                <w:szCs w:val="20"/>
              </w:rPr>
              <w:t>+49 30 26 47 31 52</w:t>
            </w:r>
          </w:p>
          <w:p w14:paraId="152A20BA" w14:textId="6B06924F" w:rsidR="002B4B88" w:rsidRPr="003034DF" w:rsidRDefault="002B4B88" w:rsidP="00D36CE4">
            <w:pPr>
              <w:pStyle w:val="Text"/>
              <w:tabs>
                <w:tab w:val="left" w:pos="288"/>
              </w:tabs>
              <w:spacing w:line="276" w:lineRule="auto"/>
              <w:jc w:val="both"/>
              <w:rPr>
                <w:rFonts w:ascii="Arial" w:hAnsi="Arial" w:cs="Arial"/>
                <w:bCs/>
                <w:sz w:val="20"/>
                <w:szCs w:val="20"/>
                <w:lang w:val="it-IT"/>
              </w:rPr>
            </w:pPr>
            <w:r w:rsidRPr="003034DF">
              <w:rPr>
                <w:rFonts w:ascii="Arial" w:hAnsi="Arial" w:cs="Arial"/>
                <w:bCs/>
                <w:sz w:val="20"/>
                <w:szCs w:val="20"/>
                <w:lang w:val="it-IT"/>
              </w:rPr>
              <w:t xml:space="preserve">E </w:t>
            </w:r>
            <w:r w:rsidR="003034DF" w:rsidRPr="003034DF">
              <w:rPr>
                <w:rFonts w:ascii="Arial" w:hAnsi="Arial" w:cs="Arial"/>
                <w:bCs/>
                <w:sz w:val="20"/>
                <w:szCs w:val="20"/>
                <w:lang w:val="it-IT"/>
              </w:rPr>
              <w:t>andreas.ziegenhagen</w:t>
            </w:r>
            <w:r w:rsidRPr="003034DF">
              <w:rPr>
                <w:rFonts w:ascii="Arial" w:hAnsi="Arial" w:cs="Arial"/>
                <w:bCs/>
                <w:sz w:val="20"/>
                <w:szCs w:val="20"/>
                <w:lang w:val="it-IT"/>
              </w:rPr>
              <w:t>@dentons.com</w:t>
            </w:r>
          </w:p>
        </w:tc>
        <w:tc>
          <w:tcPr>
            <w:tcW w:w="4160" w:type="dxa"/>
            <w:shd w:val="clear" w:color="auto" w:fill="auto"/>
            <w:tcMar>
              <w:top w:w="80" w:type="dxa"/>
              <w:left w:w="80" w:type="dxa"/>
              <w:bottom w:w="80" w:type="dxa"/>
              <w:right w:w="80" w:type="dxa"/>
            </w:tcMar>
          </w:tcPr>
          <w:p w14:paraId="0C36367F" w14:textId="77777777" w:rsidR="006613E1" w:rsidRPr="003034DF" w:rsidRDefault="00C60403">
            <w:pPr>
              <w:pStyle w:val="Text"/>
              <w:tabs>
                <w:tab w:val="left" w:pos="288"/>
              </w:tabs>
              <w:spacing w:line="276" w:lineRule="auto"/>
              <w:jc w:val="both"/>
              <w:rPr>
                <w:rFonts w:ascii="Arial" w:eastAsia="Arial" w:hAnsi="Arial" w:cs="Arial"/>
                <w:b/>
                <w:bCs/>
                <w:sz w:val="20"/>
                <w:szCs w:val="20"/>
                <w:lang w:val="en-US"/>
              </w:rPr>
            </w:pPr>
            <w:r w:rsidRPr="003034DF">
              <w:rPr>
                <w:rFonts w:ascii="Arial" w:hAnsi="Arial" w:cs="Arial"/>
                <w:b/>
                <w:bCs/>
                <w:sz w:val="20"/>
                <w:szCs w:val="20"/>
                <w:lang w:val="en-US"/>
              </w:rPr>
              <w:t>Pressekontakt:</w:t>
            </w:r>
          </w:p>
          <w:p w14:paraId="16D56A96" w14:textId="77777777" w:rsidR="006613E1" w:rsidRPr="003034DF" w:rsidRDefault="00C60403">
            <w:pPr>
              <w:tabs>
                <w:tab w:val="left" w:pos="288"/>
              </w:tabs>
              <w:spacing w:line="276" w:lineRule="auto"/>
              <w:jc w:val="both"/>
              <w:rPr>
                <w:rFonts w:ascii="Arial" w:eastAsia="Calibri" w:hAnsi="Arial" w:cs="Arial"/>
                <w:bCs/>
                <w:sz w:val="20"/>
              </w:rPr>
            </w:pPr>
            <w:r w:rsidRPr="003034DF">
              <w:rPr>
                <w:rFonts w:ascii="Arial" w:eastAsia="Calibri" w:hAnsi="Arial" w:cs="Arial"/>
                <w:bCs/>
                <w:sz w:val="20"/>
              </w:rPr>
              <w:t>Christine Wolf</w:t>
            </w:r>
          </w:p>
          <w:p w14:paraId="1466C06B" w14:textId="77777777" w:rsidR="006613E1" w:rsidRPr="003034DF" w:rsidRDefault="00C60403">
            <w:pPr>
              <w:tabs>
                <w:tab w:val="left" w:pos="288"/>
              </w:tabs>
              <w:spacing w:line="276" w:lineRule="auto"/>
              <w:jc w:val="both"/>
              <w:rPr>
                <w:rFonts w:ascii="Arial" w:eastAsia="Calibri" w:hAnsi="Arial" w:cs="Arial"/>
                <w:bCs/>
                <w:sz w:val="20"/>
              </w:rPr>
            </w:pPr>
            <w:r w:rsidRPr="003034DF">
              <w:rPr>
                <w:rFonts w:ascii="Arial" w:eastAsia="Calibri" w:hAnsi="Arial" w:cs="Arial"/>
                <w:bCs/>
                <w:sz w:val="20"/>
              </w:rPr>
              <w:t>Senior Communications Manager Germany</w:t>
            </w:r>
          </w:p>
          <w:p w14:paraId="44F08261" w14:textId="77777777" w:rsidR="006613E1" w:rsidRPr="003034DF" w:rsidRDefault="00C60403">
            <w:pPr>
              <w:tabs>
                <w:tab w:val="left" w:pos="288"/>
              </w:tabs>
              <w:spacing w:line="276" w:lineRule="auto"/>
              <w:jc w:val="both"/>
              <w:rPr>
                <w:rFonts w:ascii="Arial" w:eastAsia="Calibri" w:hAnsi="Arial" w:cs="Arial"/>
                <w:bCs/>
                <w:sz w:val="20"/>
              </w:rPr>
            </w:pPr>
            <w:r w:rsidRPr="003034DF">
              <w:rPr>
                <w:rFonts w:ascii="Arial" w:eastAsia="Calibri" w:hAnsi="Arial" w:cs="Arial"/>
                <w:bCs/>
                <w:sz w:val="20"/>
              </w:rPr>
              <w:t xml:space="preserve">D +49 89 244408 480  </w:t>
            </w:r>
          </w:p>
          <w:p w14:paraId="32FF2FFD" w14:textId="2D9F53B1" w:rsidR="006613E1" w:rsidRPr="003034DF" w:rsidRDefault="00C60403">
            <w:pPr>
              <w:tabs>
                <w:tab w:val="left" w:pos="288"/>
              </w:tabs>
              <w:spacing w:line="276" w:lineRule="auto"/>
              <w:jc w:val="both"/>
              <w:rPr>
                <w:rFonts w:ascii="Arial" w:eastAsia="Calibri" w:hAnsi="Arial" w:cs="Arial"/>
                <w:bCs/>
                <w:sz w:val="20"/>
              </w:rPr>
            </w:pPr>
            <w:r w:rsidRPr="003034DF">
              <w:rPr>
                <w:rFonts w:ascii="Arial" w:eastAsia="Calibri" w:hAnsi="Arial" w:cs="Arial"/>
                <w:bCs/>
                <w:sz w:val="20"/>
              </w:rPr>
              <w:t>christine.wolf@dentons.com</w:t>
            </w:r>
          </w:p>
        </w:tc>
      </w:tr>
    </w:tbl>
    <w:p w14:paraId="07089083" w14:textId="15A4C884" w:rsidR="006613E1" w:rsidRDefault="00A70726">
      <w:pPr>
        <w:rPr>
          <w:rFonts w:ascii="Arial" w:eastAsia="Helvetica" w:hAnsi="Arial" w:cs="Arial"/>
          <w:b/>
          <w:bCs/>
          <w:color w:val="000000"/>
          <w:sz w:val="20"/>
          <w:szCs w:val="20"/>
          <w:u w:val="single"/>
          <w:bdr w:val="nil"/>
          <w:lang w:val="de-DE" w:eastAsia="de-DE"/>
        </w:rPr>
      </w:pPr>
      <w:r w:rsidRPr="003034DF">
        <w:rPr>
          <w:rFonts w:ascii="Arial" w:eastAsia="Helvetica" w:hAnsi="Arial" w:cs="Arial"/>
          <w:b/>
          <w:bCs/>
          <w:color w:val="000000"/>
          <w:sz w:val="20"/>
          <w:szCs w:val="20"/>
          <w:u w:val="single"/>
          <w:bdr w:val="nil"/>
          <w:lang w:eastAsia="de-DE"/>
        </w:rPr>
        <w:br/>
      </w:r>
      <w:r w:rsidR="00C60403" w:rsidRPr="003034DF">
        <w:rPr>
          <w:rFonts w:ascii="Arial" w:eastAsia="Helvetica" w:hAnsi="Arial" w:cs="Arial"/>
          <w:b/>
          <w:bCs/>
          <w:color w:val="000000"/>
          <w:sz w:val="20"/>
          <w:szCs w:val="20"/>
          <w:u w:val="single"/>
          <w:bdr w:val="nil"/>
          <w:lang w:eastAsia="de-DE"/>
        </w:rPr>
        <w:t xml:space="preserve">Über </w:t>
      </w:r>
      <w:r w:rsidR="00C60403">
        <w:rPr>
          <w:rFonts w:ascii="Arial" w:eastAsia="Helvetica" w:hAnsi="Arial" w:cs="Arial"/>
          <w:b/>
          <w:bCs/>
          <w:color w:val="000000"/>
          <w:sz w:val="20"/>
          <w:szCs w:val="20"/>
          <w:u w:val="single"/>
          <w:bdr w:val="nil"/>
          <w:lang w:val="de-DE" w:eastAsia="de-DE"/>
        </w:rPr>
        <w:t>Dentons</w:t>
      </w:r>
    </w:p>
    <w:p w14:paraId="6E9CA178" w14:textId="180F8F39" w:rsidR="006613E1" w:rsidRPr="00F50CC5" w:rsidRDefault="00F50CC5" w:rsidP="00F50CC5">
      <w:pPr>
        <w:pStyle w:val="BodyText"/>
        <w:spacing w:after="0"/>
        <w:jc w:val="both"/>
        <w:rPr>
          <w:lang w:val="de-DE"/>
        </w:rPr>
      </w:pPr>
      <w:r w:rsidRPr="00F50CC5">
        <w:rPr>
          <w:lang w:val="de-DE"/>
        </w:rPr>
        <w:t>Dentons ist die weltweit größte Wirtschaftskanzlei und berät Mandanten in mehr als 75 Ländern im Hinblick auf ihre globalen Herausforderungen und Chancen. Die rechtlichen und unternehmerischen Lösungen von Dentons sind geprägt von der Nähe zum lokalen Markt und werden vielfach als Innovationen ausgezeichnet – dazu zählen die zahlreichen zukunftsgerichteten Initiativen und strategischen Beratungsangebote unter dem Dach von </w:t>
      </w:r>
      <w:hyperlink r:id="rId8" w:tgtFrame="_blank" w:history="1">
        <w:r w:rsidRPr="00F50CC5">
          <w:rPr>
            <w:lang w:val="de-DE"/>
          </w:rPr>
          <w:t>Nextlaw</w:t>
        </w:r>
      </w:hyperlink>
      <w:r w:rsidRPr="00F50CC5">
        <w:rPr>
          <w:lang w:val="de-DE"/>
        </w:rPr>
        <w:t>. Mit einem polyzentrischen und zielorientierten Ansatz, dem Einsatz für Inklusion und Vielfalt sowie erstklassigen Anwälten setzt sich Dentons für Mandanten und gesellschaftliche Interessen in einer sich dynamisch verändernden Welt ein. </w:t>
      </w:r>
      <w:hyperlink r:id="rId9" w:tgtFrame="_self" w:history="1">
        <w:r w:rsidRPr="00F50CC5">
          <w:rPr>
            <w:lang w:val="de-DE"/>
          </w:rPr>
          <w:t>www.dentons.com</w:t>
        </w:r>
      </w:hyperlink>
      <w:r w:rsidRPr="00F50CC5">
        <w:rPr>
          <w:lang w:val="de-DE"/>
        </w:rPr>
        <w:t xml:space="preserve"> </w:t>
      </w:r>
    </w:p>
    <w:p w14:paraId="09EB6C0D" w14:textId="77777777" w:rsidR="006613E1" w:rsidRDefault="006613E1">
      <w:pPr>
        <w:rPr>
          <w:rFonts w:ascii="Arial" w:eastAsia="Helvetica" w:hAnsi="Arial" w:cs="Arial"/>
          <w:b/>
          <w:bCs/>
          <w:color w:val="000000"/>
          <w:sz w:val="20"/>
          <w:szCs w:val="20"/>
          <w:u w:val="single"/>
          <w:bdr w:val="nil"/>
          <w:lang w:eastAsia="de-DE"/>
        </w:rPr>
      </w:pPr>
    </w:p>
    <w:p w14:paraId="279CF5D5" w14:textId="77777777" w:rsidR="006613E1" w:rsidRDefault="006613E1">
      <w:pPr>
        <w:rPr>
          <w:rFonts w:ascii="Arial" w:eastAsia="Helvetica" w:hAnsi="Arial" w:cs="Arial"/>
          <w:b/>
          <w:bCs/>
          <w:color w:val="000000"/>
          <w:sz w:val="20"/>
          <w:szCs w:val="20"/>
          <w:u w:val="single"/>
          <w:bdr w:val="nil"/>
          <w:lang w:eastAsia="de-DE"/>
        </w:rPr>
      </w:pPr>
    </w:p>
    <w:p w14:paraId="4B8FAE51" w14:textId="77777777" w:rsidR="006613E1" w:rsidRDefault="006613E1">
      <w:pPr>
        <w:rPr>
          <w:rFonts w:ascii="Arial" w:eastAsia="Helvetica" w:hAnsi="Arial" w:cs="Arial"/>
          <w:b/>
          <w:bCs/>
          <w:color w:val="000000"/>
          <w:sz w:val="20"/>
          <w:szCs w:val="20"/>
          <w:u w:val="single"/>
          <w:bdr w:val="nil"/>
          <w:lang w:eastAsia="de-DE"/>
        </w:rPr>
      </w:pPr>
    </w:p>
    <w:p w14:paraId="621F2D45" w14:textId="77777777" w:rsidR="006613E1" w:rsidRDefault="006613E1">
      <w:pPr>
        <w:pStyle w:val="BodyText"/>
        <w:jc w:val="both"/>
        <w:rPr>
          <w:rFonts w:cs="Arial"/>
          <w:b/>
          <w:color w:val="7030A0"/>
          <w:u w:val="single"/>
          <w:lang w:val="en-US"/>
        </w:rPr>
      </w:pPr>
    </w:p>
    <w:sectPr w:rsidR="006613E1" w:rsidSect="00BC03A6">
      <w:headerReference w:type="even" r:id="rId10"/>
      <w:headerReference w:type="default" r:id="rId11"/>
      <w:footerReference w:type="even" r:id="rId12"/>
      <w:footerReference w:type="default" r:id="rId13"/>
      <w:headerReference w:type="first" r:id="rId14"/>
      <w:footerReference w:type="first" r:id="rId15"/>
      <w:pgSz w:w="12240" w:h="15840"/>
      <w:pgMar w:top="1135" w:right="1417"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2857" w14:textId="77777777" w:rsidR="001915FC" w:rsidRDefault="001915FC">
      <w:r>
        <w:separator/>
      </w:r>
    </w:p>
  </w:endnote>
  <w:endnote w:type="continuationSeparator" w:id="0">
    <w:p w14:paraId="14411D1C" w14:textId="77777777" w:rsidR="001915FC" w:rsidRDefault="0019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54C4" w14:textId="77777777" w:rsidR="0034255B" w:rsidRDefault="00342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B801" w14:textId="77777777" w:rsidR="006613E1" w:rsidRDefault="006613E1">
    <w:pPr>
      <w:pStyle w:val="Footer"/>
    </w:pPr>
  </w:p>
  <w:p w14:paraId="0C6FD030" w14:textId="77777777" w:rsidR="006613E1" w:rsidRDefault="006613E1">
    <w:pPr>
      <w:pStyle w:val="Footer"/>
    </w:pPr>
  </w:p>
  <w:p w14:paraId="38928267" w14:textId="77777777" w:rsidR="006613E1" w:rsidRDefault="00C60403">
    <w:pPr>
      <w:pStyle w:val="Footer"/>
      <w:rPr>
        <w:rFonts w:ascii="Verdana" w:hAnsi="Verdana"/>
        <w:color w:val="FFFFFF" w:themeColor="background1"/>
        <w:sz w:val="16"/>
      </w:rPr>
    </w:pPr>
    <w:r w:rsidRPr="0034255B">
      <w:rPr>
        <w:rFonts w:ascii="Verdana" w:hAnsi="Verdana"/>
        <w:color w:val="FFFFFF" w:themeColor="background1"/>
        <w:sz w:val="16"/>
      </w:rPr>
      <w:t>Germany 5525738.1</w:t>
    </w:r>
  </w:p>
  <w:p w14:paraId="67A16F66" w14:textId="3EC3C608" w:rsidR="0034255B" w:rsidRDefault="00354389">
    <w:pPr>
      <w:pStyle w:val="Footer"/>
      <w:rPr>
        <w:rFonts w:ascii="Verdana" w:hAnsi="Verdana"/>
        <w:sz w:val="16"/>
      </w:rPr>
    </w:pPr>
    <w:r>
      <w:rPr>
        <w:rFonts w:ascii="Verdana" w:hAnsi="Verdana"/>
        <w:sz w:val="16"/>
      </w:rPr>
      <w:t>Germany 11852293.1</w:t>
    </w:r>
  </w:p>
  <w:p w14:paraId="7790E90F" w14:textId="2C715031" w:rsidR="00BC03A6" w:rsidRPr="0034255B" w:rsidRDefault="00BC03A6">
    <w:pPr>
      <w:pStyle w:val="Footer"/>
      <w:rPr>
        <w:color w:val="FFFFFF" w:themeColor="background1"/>
      </w:rPr>
    </w:pPr>
    <w:r>
      <w:rPr>
        <w:rFonts w:ascii="Verdana" w:hAnsi="Verdana"/>
        <w:sz w:val="16"/>
      </w:rPr>
      <w:t>Germany 11852308.1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14CD" w14:textId="77777777" w:rsidR="0034255B" w:rsidRDefault="0034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31801" w14:textId="77777777" w:rsidR="001915FC" w:rsidRDefault="001915FC">
      <w:r>
        <w:separator/>
      </w:r>
    </w:p>
  </w:footnote>
  <w:footnote w:type="continuationSeparator" w:id="0">
    <w:p w14:paraId="15D479A0" w14:textId="77777777" w:rsidR="001915FC" w:rsidRDefault="0019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F983" w14:textId="77777777" w:rsidR="0034255B" w:rsidRDefault="00342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756E" w14:textId="77777777" w:rsidR="0034255B" w:rsidRDefault="00342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B8AC" w14:textId="77777777" w:rsidR="0034255B" w:rsidRDefault="00342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E1"/>
    <w:rsid w:val="00005479"/>
    <w:rsid w:val="0001694D"/>
    <w:rsid w:val="000204C8"/>
    <w:rsid w:val="0006752B"/>
    <w:rsid w:val="00075C42"/>
    <w:rsid w:val="001060CB"/>
    <w:rsid w:val="0013147A"/>
    <w:rsid w:val="00154B1E"/>
    <w:rsid w:val="00175B94"/>
    <w:rsid w:val="001915FC"/>
    <w:rsid w:val="001958C5"/>
    <w:rsid w:val="001A7BF1"/>
    <w:rsid w:val="00212497"/>
    <w:rsid w:val="00224587"/>
    <w:rsid w:val="00277A5B"/>
    <w:rsid w:val="002B4B88"/>
    <w:rsid w:val="002D04FD"/>
    <w:rsid w:val="003034DF"/>
    <w:rsid w:val="0034255B"/>
    <w:rsid w:val="00354389"/>
    <w:rsid w:val="003B61AD"/>
    <w:rsid w:val="0041557A"/>
    <w:rsid w:val="004335AA"/>
    <w:rsid w:val="00495347"/>
    <w:rsid w:val="004F0FCE"/>
    <w:rsid w:val="00504C6F"/>
    <w:rsid w:val="00527324"/>
    <w:rsid w:val="00530941"/>
    <w:rsid w:val="0055325A"/>
    <w:rsid w:val="005A1CCC"/>
    <w:rsid w:val="005A6210"/>
    <w:rsid w:val="005F4BFB"/>
    <w:rsid w:val="00613F59"/>
    <w:rsid w:val="006613E1"/>
    <w:rsid w:val="006D6368"/>
    <w:rsid w:val="0078060A"/>
    <w:rsid w:val="0079578C"/>
    <w:rsid w:val="007D2DE6"/>
    <w:rsid w:val="00836D52"/>
    <w:rsid w:val="0085165A"/>
    <w:rsid w:val="00894820"/>
    <w:rsid w:val="00894FF1"/>
    <w:rsid w:val="00961068"/>
    <w:rsid w:val="009738E6"/>
    <w:rsid w:val="00A046C7"/>
    <w:rsid w:val="00A133D3"/>
    <w:rsid w:val="00A1706A"/>
    <w:rsid w:val="00A70726"/>
    <w:rsid w:val="00B156AF"/>
    <w:rsid w:val="00B63207"/>
    <w:rsid w:val="00B81E6F"/>
    <w:rsid w:val="00BC03A6"/>
    <w:rsid w:val="00C60403"/>
    <w:rsid w:val="00CB538D"/>
    <w:rsid w:val="00CB6C92"/>
    <w:rsid w:val="00D305EF"/>
    <w:rsid w:val="00D36CE4"/>
    <w:rsid w:val="00D402F2"/>
    <w:rsid w:val="00D619CC"/>
    <w:rsid w:val="00DC7F3F"/>
    <w:rsid w:val="00E108D7"/>
    <w:rsid w:val="00E265BE"/>
    <w:rsid w:val="00E75ED8"/>
    <w:rsid w:val="00EB078E"/>
    <w:rsid w:val="00EE41A4"/>
    <w:rsid w:val="00F21646"/>
    <w:rsid w:val="00F50CC5"/>
    <w:rsid w:val="00F54550"/>
    <w:rsid w:val="00F67976"/>
    <w:rsid w:val="00FD0C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87184"/>
  <w15:docId w15:val="{1F3F15F1-C858-4B9D-98B6-3CE96511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76" w:lineRule="auto"/>
    </w:pPr>
    <w:rPr>
      <w:rFonts w:ascii="Arial" w:eastAsia="Times New Roman" w:hAnsi="Arial" w:cs="Arabic Transparent"/>
      <w:sz w:val="20"/>
      <w:szCs w:val="24"/>
      <w:lang w:val="en-GB"/>
    </w:rPr>
  </w:style>
  <w:style w:type="character" w:customStyle="1" w:styleId="BodyTextChar">
    <w:name w:val="Body Text Char"/>
    <w:basedOn w:val="DefaultParagraphFont"/>
    <w:link w:val="BodyText"/>
    <w:rPr>
      <w:rFonts w:ascii="Arial" w:eastAsia="Times New Roman" w:hAnsi="Arial" w:cs="Arabic Transparent"/>
      <w:sz w:val="20"/>
      <w:szCs w:val="24"/>
      <w:lang w:val="en-GB"/>
    </w:rPr>
  </w:style>
  <w:style w:type="paragraph" w:customStyle="1" w:styleId="TextA">
    <w:name w:val="Text A"/>
    <w:pPr>
      <w:pBdr>
        <w:top w:val="nil"/>
        <w:left w:val="nil"/>
        <w:bottom w:val="nil"/>
        <w:right w:val="nil"/>
        <w:between w:val="nil"/>
        <w:bar w:val="nil"/>
      </w:pBdr>
      <w:spacing w:after="0"/>
    </w:pPr>
    <w:rPr>
      <w:rFonts w:ascii="Arial" w:eastAsia="Arial" w:hAnsi="Arial" w:cs="Arial"/>
      <w:color w:val="000000"/>
      <w:sz w:val="20"/>
      <w:szCs w:val="20"/>
      <w:u w:color="000000"/>
      <w:bdr w:val="nil"/>
      <w:lang w:val="de-DE" w:eastAsia="de-D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703"/>
        <w:tab w:val="right" w:pos="940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basedOn w:val="DefaultParagraphFont"/>
    <w:link w:val="Footer"/>
    <w:uiPriority w:val="99"/>
    <w:rPr>
      <w:rFonts w:ascii="Calibri" w:hAnsi="Calibri" w:cs="Times New Roman"/>
    </w:rPr>
  </w:style>
  <w:style w:type="character" w:styleId="Hyperlink">
    <w:name w:val="Hyperlink"/>
    <w:uiPriority w:val="99"/>
    <w:rPr>
      <w:color w:val="0000FF"/>
      <w:u w:val="single"/>
    </w:rPr>
  </w:style>
  <w:style w:type="paragraph" w:customStyle="1" w:styleId="Text">
    <w:name w:val="Text"/>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rPr>
  </w:style>
  <w:style w:type="character" w:customStyle="1" w:styleId="tgc">
    <w:name w:val="_tgc"/>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lang w:val="de-DE" w:eastAsia="de-DE"/>
    </w:rPr>
  </w:style>
  <w:style w:type="paragraph" w:styleId="Revision">
    <w:name w:val="Revision"/>
    <w:hidden/>
    <w:uiPriority w:val="99"/>
    <w:semiHidden/>
    <w:pPr>
      <w:spacing w:after="0" w:line="240" w:lineRule="auto"/>
    </w:pPr>
    <w:rPr>
      <w:rFonts w:ascii="Calibri" w:hAnsi="Calibri" w:cs="Times New Roman"/>
    </w:rPr>
  </w:style>
  <w:style w:type="paragraph" w:styleId="PlainText">
    <w:name w:val="Plain Text"/>
    <w:basedOn w:val="Normal"/>
    <w:link w:val="PlainTextChar"/>
    <w:uiPriority w:val="99"/>
    <w:unhideWhenUsed/>
    <w:rPr>
      <w:rFonts w:ascii="Arial" w:eastAsiaTheme="minorEastAsia" w:hAnsi="Arial" w:cs="Arial"/>
      <w:color w:val="000000"/>
      <w:sz w:val="20"/>
      <w:szCs w:val="20"/>
      <w:lang w:val="de-DE" w:eastAsia="zh-CN"/>
    </w:rPr>
  </w:style>
  <w:style w:type="character" w:customStyle="1" w:styleId="PlainTextChar">
    <w:name w:val="Plain Text Char"/>
    <w:basedOn w:val="DefaultParagraphFont"/>
    <w:link w:val="PlainText"/>
    <w:uiPriority w:val="99"/>
    <w:rPr>
      <w:rFonts w:ascii="Arial" w:eastAsiaTheme="minorEastAsia" w:hAnsi="Arial" w:cs="Arial"/>
      <w:color w:val="000000"/>
      <w:sz w:val="20"/>
      <w:szCs w:val="20"/>
      <w:lang w:val="de-DE" w:eastAsia="zh-CN"/>
    </w:rPr>
  </w:style>
  <w:style w:type="table" w:styleId="TableGrid">
    <w:name w:val="Table Grid"/>
    <w:basedOn w:val="TableNormal"/>
    <w:uiPriority w:val="5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Calibri" w:hAnsi="Calibri" w:cs="Times New Roman"/>
    </w:rPr>
  </w:style>
  <w:style w:type="character" w:customStyle="1" w:styleId="prtextdetail">
    <w:name w:val="prtextdetail"/>
    <w:basedOn w:val="DefaultParagraphFont"/>
  </w:style>
  <w:style w:type="character" w:styleId="Emphasis">
    <w:name w:val="Emphasis"/>
    <w:basedOn w:val="DefaultParagraphFont"/>
    <w:uiPriority w:val="20"/>
    <w:qFormat/>
    <w:rPr>
      <w:i/>
      <w:iCs/>
    </w:rPr>
  </w:style>
  <w:style w:type="character" w:customStyle="1" w:styleId="data3a">
    <w:name w:val="data3a"/>
    <w:basedOn w:val="DefaultParagraphFont"/>
    <w:rsid w:val="0019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6847">
      <w:bodyDiv w:val="1"/>
      <w:marLeft w:val="0"/>
      <w:marRight w:val="0"/>
      <w:marTop w:val="0"/>
      <w:marBottom w:val="0"/>
      <w:divBdr>
        <w:top w:val="none" w:sz="0" w:space="0" w:color="auto"/>
        <w:left w:val="none" w:sz="0" w:space="0" w:color="auto"/>
        <w:bottom w:val="none" w:sz="0" w:space="0" w:color="auto"/>
        <w:right w:val="none" w:sz="0" w:space="0" w:color="auto"/>
      </w:divBdr>
    </w:div>
    <w:div w:id="625506422">
      <w:bodyDiv w:val="1"/>
      <w:marLeft w:val="0"/>
      <w:marRight w:val="0"/>
      <w:marTop w:val="0"/>
      <w:marBottom w:val="0"/>
      <w:divBdr>
        <w:top w:val="none" w:sz="0" w:space="0" w:color="auto"/>
        <w:left w:val="none" w:sz="0" w:space="0" w:color="auto"/>
        <w:bottom w:val="none" w:sz="0" w:space="0" w:color="auto"/>
        <w:right w:val="none" w:sz="0" w:space="0" w:color="auto"/>
      </w:divBdr>
    </w:div>
    <w:div w:id="1014845166">
      <w:bodyDiv w:val="1"/>
      <w:marLeft w:val="0"/>
      <w:marRight w:val="0"/>
      <w:marTop w:val="0"/>
      <w:marBottom w:val="0"/>
      <w:divBdr>
        <w:top w:val="none" w:sz="0" w:space="0" w:color="auto"/>
        <w:left w:val="none" w:sz="0" w:space="0" w:color="auto"/>
        <w:bottom w:val="none" w:sz="0" w:space="0" w:color="auto"/>
        <w:right w:val="none" w:sz="0" w:space="0" w:color="auto"/>
      </w:divBdr>
    </w:div>
    <w:div w:id="1191451477">
      <w:bodyDiv w:val="1"/>
      <w:marLeft w:val="0"/>
      <w:marRight w:val="0"/>
      <w:marTop w:val="0"/>
      <w:marBottom w:val="0"/>
      <w:divBdr>
        <w:top w:val="none" w:sz="0" w:space="0" w:color="auto"/>
        <w:left w:val="none" w:sz="0" w:space="0" w:color="auto"/>
        <w:bottom w:val="none" w:sz="0" w:space="0" w:color="auto"/>
        <w:right w:val="none" w:sz="0" w:space="0" w:color="auto"/>
      </w:divBdr>
    </w:div>
    <w:div w:id="1364789530">
      <w:bodyDiv w:val="1"/>
      <w:marLeft w:val="0"/>
      <w:marRight w:val="0"/>
      <w:marTop w:val="0"/>
      <w:marBottom w:val="0"/>
      <w:divBdr>
        <w:top w:val="none" w:sz="0" w:space="0" w:color="auto"/>
        <w:left w:val="none" w:sz="0" w:space="0" w:color="auto"/>
        <w:bottom w:val="none" w:sz="0" w:space="0" w:color="auto"/>
        <w:right w:val="none" w:sz="0" w:space="0" w:color="auto"/>
      </w:divBdr>
    </w:div>
    <w:div w:id="1365598767">
      <w:bodyDiv w:val="1"/>
      <w:marLeft w:val="0"/>
      <w:marRight w:val="0"/>
      <w:marTop w:val="0"/>
      <w:marBottom w:val="0"/>
      <w:divBdr>
        <w:top w:val="none" w:sz="0" w:space="0" w:color="auto"/>
        <w:left w:val="none" w:sz="0" w:space="0" w:color="auto"/>
        <w:bottom w:val="none" w:sz="0" w:space="0" w:color="auto"/>
        <w:right w:val="none" w:sz="0" w:space="0" w:color="auto"/>
      </w:divBdr>
    </w:div>
    <w:div w:id="1566840157">
      <w:bodyDiv w:val="1"/>
      <w:marLeft w:val="0"/>
      <w:marRight w:val="0"/>
      <w:marTop w:val="0"/>
      <w:marBottom w:val="0"/>
      <w:divBdr>
        <w:top w:val="none" w:sz="0" w:space="0" w:color="auto"/>
        <w:left w:val="none" w:sz="0" w:space="0" w:color="auto"/>
        <w:bottom w:val="none" w:sz="0" w:space="0" w:color="auto"/>
        <w:right w:val="none" w:sz="0" w:space="0" w:color="auto"/>
      </w:divBdr>
    </w:div>
    <w:div w:id="1577548485">
      <w:bodyDiv w:val="1"/>
      <w:marLeft w:val="0"/>
      <w:marRight w:val="0"/>
      <w:marTop w:val="0"/>
      <w:marBottom w:val="0"/>
      <w:divBdr>
        <w:top w:val="none" w:sz="0" w:space="0" w:color="auto"/>
        <w:left w:val="none" w:sz="0" w:space="0" w:color="auto"/>
        <w:bottom w:val="none" w:sz="0" w:space="0" w:color="auto"/>
        <w:right w:val="none" w:sz="0" w:space="0" w:color="auto"/>
      </w:divBdr>
    </w:div>
    <w:div w:id="1642464655">
      <w:bodyDiv w:val="1"/>
      <w:marLeft w:val="0"/>
      <w:marRight w:val="0"/>
      <w:marTop w:val="0"/>
      <w:marBottom w:val="0"/>
      <w:divBdr>
        <w:top w:val="none" w:sz="0" w:space="0" w:color="auto"/>
        <w:left w:val="none" w:sz="0" w:space="0" w:color="auto"/>
        <w:bottom w:val="none" w:sz="0" w:space="0" w:color="auto"/>
        <w:right w:val="none" w:sz="0" w:space="0" w:color="auto"/>
      </w:divBdr>
    </w:div>
    <w:div w:id="1729762709">
      <w:bodyDiv w:val="1"/>
      <w:marLeft w:val="0"/>
      <w:marRight w:val="0"/>
      <w:marTop w:val="0"/>
      <w:marBottom w:val="0"/>
      <w:divBdr>
        <w:top w:val="none" w:sz="0" w:space="0" w:color="auto"/>
        <w:left w:val="none" w:sz="0" w:space="0" w:color="auto"/>
        <w:bottom w:val="none" w:sz="0" w:space="0" w:color="auto"/>
        <w:right w:val="none" w:sz="0" w:space="0" w:color="auto"/>
      </w:divBdr>
    </w:div>
    <w:div w:id="21343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nextlaw.com/" TargetMode="External" />
  <Relationship Id="rId13"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2.xml" />
  <Relationship Id="rId5" Type="http://schemas.openxmlformats.org/officeDocument/2006/relationships/footnotes" Target="footnote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webSettings" Target="webSettings.xml" />
  <Relationship Id="rId9" Type="http://schemas.openxmlformats.org/officeDocument/2006/relationships/hyperlink" Target="http://www.dentons.com/" TargetMode="Externa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C83C-B734-421A-9A21-02A3DB8E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413</Words>
  <Characters>3159</Characters>
  <Application>Microsoft Office Word</Application>
  <DocSecurity>0</DocSecurity>
  <Lines>66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3a37bb53-0992-436f-84de-ff5e2d25c2a8</vt:lpwstr>
  </property>
</Properties>
</file>